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B1D08" w:rsidP="005B1D08">
      <w:pPr>
        <w:spacing w:line="480" w:lineRule="auto"/>
        <w:rPr>
          <w:rFonts w:ascii="Times New Roman" w:hAnsi="Times New Roman" w:cs="Times New Roman"/>
          <w:sz w:val="24"/>
          <w:szCs w:val="24"/>
        </w:rPr>
      </w:pPr>
    </w:p>
    <w:p w:rsidR="005B1D08" w:rsidP="005B1D08">
      <w:pPr>
        <w:spacing w:line="480" w:lineRule="auto"/>
        <w:rPr>
          <w:rFonts w:ascii="Times New Roman" w:hAnsi="Times New Roman" w:cs="Times New Roman"/>
          <w:sz w:val="24"/>
          <w:szCs w:val="24"/>
        </w:rPr>
      </w:pPr>
    </w:p>
    <w:p w:rsidR="005B1D08" w:rsidP="005B1D08">
      <w:pPr>
        <w:spacing w:line="480" w:lineRule="auto"/>
        <w:rPr>
          <w:rFonts w:ascii="Times New Roman" w:hAnsi="Times New Roman" w:cs="Times New Roman"/>
          <w:sz w:val="24"/>
          <w:szCs w:val="24"/>
        </w:rPr>
      </w:pPr>
    </w:p>
    <w:p w:rsidR="005B1D08" w:rsidP="005B1D08">
      <w:pPr>
        <w:spacing w:line="480" w:lineRule="auto"/>
        <w:rPr>
          <w:rFonts w:ascii="Times New Roman" w:hAnsi="Times New Roman" w:cs="Times New Roman"/>
          <w:sz w:val="24"/>
          <w:szCs w:val="24"/>
        </w:rPr>
      </w:pPr>
    </w:p>
    <w:p w:rsidR="005B1D08" w:rsidP="005B1D08">
      <w:pPr>
        <w:spacing w:line="480" w:lineRule="auto"/>
        <w:rPr>
          <w:rFonts w:ascii="Times New Roman" w:hAnsi="Times New Roman" w:cs="Times New Roman"/>
          <w:sz w:val="24"/>
          <w:szCs w:val="24"/>
        </w:rPr>
      </w:pPr>
    </w:p>
    <w:p w:rsidR="005B1D08" w:rsidP="005B1D08">
      <w:pPr>
        <w:spacing w:line="480" w:lineRule="auto"/>
        <w:rPr>
          <w:rFonts w:ascii="Times New Roman" w:hAnsi="Times New Roman" w:cs="Times New Roman"/>
          <w:sz w:val="24"/>
          <w:szCs w:val="24"/>
        </w:rPr>
      </w:pPr>
    </w:p>
    <w:p w:rsidR="00290828" w:rsidP="005B1D08">
      <w:pPr>
        <w:spacing w:line="480" w:lineRule="auto"/>
        <w:jc w:val="center"/>
        <w:rPr>
          <w:rFonts w:ascii="Times New Roman" w:hAnsi="Times New Roman" w:cs="Times New Roman"/>
          <w:sz w:val="24"/>
          <w:szCs w:val="24"/>
        </w:rPr>
      </w:pPr>
      <w:r w:rsidRPr="005B1D08">
        <w:rPr>
          <w:rFonts w:ascii="Times New Roman" w:hAnsi="Times New Roman" w:cs="Times New Roman"/>
          <w:sz w:val="24"/>
          <w:szCs w:val="24"/>
        </w:rPr>
        <w:t>Discussion 5 capstone</w:t>
      </w:r>
    </w:p>
    <w:p w:rsidR="005B1D08" w:rsidP="005B1D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1D08" w:rsidP="005B1D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1D08" w:rsidRPr="005B1D08" w:rsidP="005B1D0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1D08" w:rsidP="005B1D08">
      <w:pPr>
        <w:spacing w:line="480" w:lineRule="auto"/>
        <w:jc w:val="center"/>
        <w:rPr>
          <w:rFonts w:ascii="Times New Roman" w:hAnsi="Times New Roman" w:cs="Times New Roman"/>
          <w:b/>
          <w:sz w:val="24"/>
          <w:szCs w:val="24"/>
        </w:rPr>
      </w:pPr>
    </w:p>
    <w:p w:rsidR="005B1D08" w:rsidP="005B1D08">
      <w:pPr>
        <w:spacing w:line="480" w:lineRule="auto"/>
        <w:jc w:val="center"/>
        <w:rPr>
          <w:rFonts w:ascii="Times New Roman" w:hAnsi="Times New Roman" w:cs="Times New Roman"/>
          <w:b/>
          <w:sz w:val="24"/>
          <w:szCs w:val="24"/>
        </w:rPr>
      </w:pPr>
    </w:p>
    <w:p w:rsidR="005B1D08" w:rsidP="005B1D08">
      <w:pPr>
        <w:spacing w:line="480" w:lineRule="auto"/>
        <w:jc w:val="center"/>
        <w:rPr>
          <w:rFonts w:ascii="Times New Roman" w:hAnsi="Times New Roman" w:cs="Times New Roman"/>
          <w:b/>
          <w:sz w:val="24"/>
          <w:szCs w:val="24"/>
        </w:rPr>
      </w:pPr>
    </w:p>
    <w:p w:rsidR="005B1D08" w:rsidP="005B1D08">
      <w:pPr>
        <w:spacing w:line="480" w:lineRule="auto"/>
        <w:jc w:val="center"/>
        <w:rPr>
          <w:rFonts w:ascii="Times New Roman" w:hAnsi="Times New Roman" w:cs="Times New Roman"/>
          <w:b/>
          <w:sz w:val="24"/>
          <w:szCs w:val="24"/>
        </w:rPr>
      </w:pPr>
    </w:p>
    <w:p w:rsidR="005B1D08" w:rsidP="005B1D08">
      <w:pPr>
        <w:spacing w:line="480" w:lineRule="auto"/>
        <w:rPr>
          <w:rFonts w:ascii="Times New Roman" w:hAnsi="Times New Roman" w:cs="Times New Roman"/>
          <w:b/>
          <w:sz w:val="24"/>
          <w:szCs w:val="24"/>
        </w:rPr>
      </w:pPr>
    </w:p>
    <w:p w:rsidR="005B1D08" w:rsidP="005B1D08">
      <w:pPr>
        <w:spacing w:line="480" w:lineRule="auto"/>
        <w:rPr>
          <w:rFonts w:ascii="Times New Roman" w:hAnsi="Times New Roman" w:cs="Times New Roman"/>
          <w:b/>
          <w:sz w:val="24"/>
          <w:szCs w:val="24"/>
        </w:rPr>
      </w:pPr>
    </w:p>
    <w:p w:rsidR="005B1D08" w:rsidP="005B1D08">
      <w:pPr>
        <w:spacing w:line="480" w:lineRule="auto"/>
        <w:jc w:val="center"/>
        <w:rPr>
          <w:rFonts w:ascii="Times New Roman" w:hAnsi="Times New Roman" w:cs="Times New Roman"/>
          <w:b/>
          <w:sz w:val="24"/>
          <w:szCs w:val="24"/>
        </w:rPr>
      </w:pPr>
    </w:p>
    <w:p w:rsidR="005B1D08" w:rsidP="005B1D08">
      <w:pPr>
        <w:spacing w:line="480" w:lineRule="auto"/>
        <w:jc w:val="center"/>
        <w:rPr>
          <w:rFonts w:ascii="Times New Roman" w:hAnsi="Times New Roman" w:cs="Times New Roman"/>
          <w:b/>
          <w:sz w:val="24"/>
          <w:szCs w:val="24"/>
        </w:rPr>
      </w:pPr>
    </w:p>
    <w:p w:rsidR="00425D34" w:rsidRPr="005B1D08" w:rsidP="005B1D08">
      <w:pPr>
        <w:spacing w:line="480" w:lineRule="auto"/>
        <w:jc w:val="center"/>
        <w:rPr>
          <w:rFonts w:ascii="Times New Roman" w:hAnsi="Times New Roman" w:cs="Times New Roman"/>
          <w:b/>
          <w:sz w:val="24"/>
          <w:szCs w:val="24"/>
        </w:rPr>
      </w:pPr>
      <w:r w:rsidRPr="005B1D08">
        <w:rPr>
          <w:rFonts w:ascii="Times New Roman" w:hAnsi="Times New Roman" w:cs="Times New Roman"/>
          <w:b/>
          <w:sz w:val="24"/>
          <w:szCs w:val="24"/>
        </w:rPr>
        <w:t>The art of conferencing</w:t>
      </w:r>
    </w:p>
    <w:p w:rsidR="00425D34" w:rsidRPr="005B1D08" w:rsidP="005B1D08">
      <w:pPr>
        <w:spacing w:line="480" w:lineRule="auto"/>
        <w:ind w:firstLine="720"/>
        <w:rPr>
          <w:rFonts w:ascii="Times New Roman" w:hAnsi="Times New Roman" w:cs="Times New Roman"/>
          <w:sz w:val="24"/>
          <w:szCs w:val="24"/>
        </w:rPr>
      </w:pPr>
      <w:r w:rsidRPr="005B1D08">
        <w:rPr>
          <w:rFonts w:ascii="Times New Roman" w:hAnsi="Times New Roman" w:cs="Times New Roman"/>
          <w:sz w:val="24"/>
          <w:szCs w:val="24"/>
        </w:rPr>
        <w:t>I have learnt that participating in national conferences in the Criminal Justice or criminology discipline is a great experience. As a prospective job applicant for ACJ and ASC, I find this piece of advice valuable as attending the conferences will increase my chances of being considered by the employers. I will be making p</w:t>
      </w:r>
      <w:r w:rsidRPr="005B1D08" w:rsidR="000740A9">
        <w:rPr>
          <w:rFonts w:ascii="Times New Roman" w:hAnsi="Times New Roman" w:cs="Times New Roman"/>
          <w:sz w:val="24"/>
          <w:szCs w:val="24"/>
        </w:rPr>
        <w:t>resentations at the conferences. After doing my research, I will not only publish it but also present it. When presenting, I will need to be time conscious. I will condense my presentation to take like 10-15 minutes so that the audience can grasp my ideas</w:t>
      </w:r>
      <w:r>
        <w:rPr>
          <w:rStyle w:val="FootnoteReference"/>
          <w:rFonts w:ascii="Times New Roman" w:hAnsi="Times New Roman" w:cs="Times New Roman"/>
          <w:sz w:val="24"/>
          <w:szCs w:val="24"/>
        </w:rPr>
        <w:footnoteReference w:id="2"/>
      </w:r>
      <w:r w:rsidRPr="005B1D08" w:rsidR="000740A9">
        <w:rPr>
          <w:rFonts w:ascii="Times New Roman" w:hAnsi="Times New Roman" w:cs="Times New Roman"/>
          <w:sz w:val="24"/>
          <w:szCs w:val="24"/>
        </w:rPr>
        <w:t>. I will memorize the most critical points in the presentation so that I don't run out of time. 
</w:t>
      </w:r>
    </w:p>
    <w:p w:rsidR="00D8245B" w:rsidRPr="005B1D08" w:rsidP="007F08D4">
      <w:pPr>
        <w:spacing w:line="480" w:lineRule="auto"/>
        <w:ind w:firstLine="720"/>
        <w:rPr>
          <w:rFonts w:ascii="Times New Roman" w:hAnsi="Times New Roman" w:cs="Times New Roman"/>
          <w:sz w:val="24"/>
          <w:szCs w:val="24"/>
        </w:rPr>
      </w:pPr>
      <w:r w:rsidRPr="005B1D08">
        <w:rPr>
          <w:rFonts w:ascii="Times New Roman" w:hAnsi="Times New Roman" w:cs="Times New Roman"/>
          <w:sz w:val="24"/>
          <w:szCs w:val="24"/>
        </w:rPr>
        <w:t>"No-shows" can be prevented by deducting points to anyone who does not present him/herself for presentations. I believe this can be a useful managerial act that can force participants to present themselves for the presentations. 
</w:t>
      </w:r>
    </w:p>
    <w:p w:rsidR="009618B7" w:rsidRPr="005B1D08" w:rsidP="007F08D4">
      <w:pPr>
        <w:spacing w:line="480" w:lineRule="auto"/>
        <w:ind w:firstLine="720"/>
        <w:rPr>
          <w:rFonts w:ascii="Times New Roman" w:hAnsi="Times New Roman" w:cs="Times New Roman"/>
          <w:sz w:val="24"/>
          <w:szCs w:val="24"/>
        </w:rPr>
      </w:pPr>
      <w:r w:rsidRPr="005B1D08">
        <w:rPr>
          <w:rFonts w:ascii="Times New Roman" w:hAnsi="Times New Roman" w:cs="Times New Roman"/>
          <w:sz w:val="24"/>
          <w:szCs w:val="24"/>
        </w:rPr>
        <w:t xml:space="preserve">Preventing "no-shows" is not an easy thing to accomplish. It can result in alienation of members of the organization. Educating the members on the importance of presenting themselves during </w:t>
      </w:r>
      <w:r w:rsidRPr="005B1D08" w:rsidR="004D6ED9">
        <w:rPr>
          <w:rFonts w:ascii="Times New Roman" w:hAnsi="Times New Roman" w:cs="Times New Roman"/>
          <w:sz w:val="24"/>
          <w:szCs w:val="24"/>
        </w:rPr>
        <w:t>presentations</w:t>
      </w:r>
      <w:r w:rsidRPr="005B1D08">
        <w:rPr>
          <w:rFonts w:ascii="Times New Roman" w:hAnsi="Times New Roman" w:cs="Times New Roman"/>
          <w:sz w:val="24"/>
          <w:szCs w:val="24"/>
        </w:rPr>
        <w:t xml:space="preserve"> is very vital. Most of them do not understand the merits that can fall to a person who presents themselves for the exhibition. Therefore, this is not a problem to be tolerated; rather, it can be eliminated gradually by educating the members. 
</w:t>
      </w:r>
    </w:p>
    <w:p w:rsidR="009618B7" w:rsidRPr="005B1D08" w:rsidP="005B1D08">
      <w:pPr>
        <w:spacing w:line="480" w:lineRule="auto"/>
        <w:jc w:val="center"/>
        <w:rPr>
          <w:rFonts w:ascii="Times New Roman" w:hAnsi="Times New Roman" w:cs="Times New Roman"/>
          <w:b/>
          <w:bCs/>
          <w:sz w:val="24"/>
          <w:szCs w:val="24"/>
        </w:rPr>
      </w:pPr>
      <w:r w:rsidRPr="005B1D08">
        <w:rPr>
          <w:rFonts w:ascii="Times New Roman" w:hAnsi="Times New Roman" w:cs="Times New Roman"/>
          <w:b/>
          <w:bCs/>
          <w:sz w:val="24"/>
          <w:szCs w:val="24"/>
        </w:rPr>
        <w:t>Breaking Out of Prison and into Print."</w:t>
      </w:r>
    </w:p>
    <w:p w:rsidR="004D6ED9" w:rsidRPr="005B1D08" w:rsidP="005B1D08">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 xml:space="preserve">Yes, I believe that ex-offenders have valuable information to offer to the discipline of criminal justice. As the saying goes “experience is the best teacher”, ex-offenders have had the </w:t>
      </w:r>
      <w:r w:rsidRPr="005B1D08">
        <w:rPr>
          <w:rFonts w:ascii="Times New Roman" w:hAnsi="Times New Roman" w:cs="Times New Roman"/>
          <w:bCs/>
          <w:sz w:val="24"/>
          <w:szCs w:val="24"/>
        </w:rPr>
        <w:t xml:space="preserve">best experiences within the prison areas, what happens there, their experiences with the prison staff and many more. Their research and contribution to criminal justice should not be ignored or not taken seriously.  Although some may argue that their research is biased, their experiences inside the prison doors can be of great value and importance in bringing sanity and improving the criminal justice system.  The fact that you are part of a particular group doesn't mean you cannot write objectively about it. I, therefore, think that the contributions of </w:t>
      </w:r>
      <w:r w:rsidRPr="005B1D08" w:rsidR="008B77D6">
        <w:rPr>
          <w:rFonts w:ascii="Times New Roman" w:hAnsi="Times New Roman" w:cs="Times New Roman"/>
          <w:bCs/>
          <w:sz w:val="24"/>
          <w:szCs w:val="24"/>
        </w:rPr>
        <w:t>incarcerated</w:t>
      </w:r>
      <w:r w:rsidRPr="005B1D08">
        <w:rPr>
          <w:rFonts w:ascii="Times New Roman" w:hAnsi="Times New Roman" w:cs="Times New Roman"/>
          <w:bCs/>
          <w:sz w:val="24"/>
          <w:szCs w:val="24"/>
        </w:rPr>
        <w:t xml:space="preserve"> and ex-offenders should be </w:t>
      </w:r>
      <w:r w:rsidRPr="005B1D08" w:rsidR="008B77D6">
        <w:rPr>
          <w:rFonts w:ascii="Times New Roman" w:hAnsi="Times New Roman" w:cs="Times New Roman"/>
          <w:bCs/>
          <w:sz w:val="24"/>
          <w:szCs w:val="24"/>
        </w:rPr>
        <w:t xml:space="preserve">accepted in academia because such people are actually in a better position to explain what exactly happens in prisons and other insights because they have firsthand information. </w:t>
      </w:r>
    </w:p>
    <w:p w:rsidR="008B77D6" w:rsidRPr="005B1D08" w:rsidP="005B1D08">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Yes, former inmates should be encouraged to attend national conferences and present their research to or even teach in universities and colleges. I believe such people have the best knowledge and experience of how the criminal justice system operates. They have firsthand information, for example, to the problems faced by inmates, the loopholes present in the criminal justice system and the criminal justice system can be improved.</w:t>
      </w:r>
      <w:r w:rsidRPr="005B1D08" w:rsidR="00F93A20">
        <w:rPr>
          <w:rFonts w:ascii="Times New Roman" w:hAnsi="Times New Roman" w:cs="Times New Roman"/>
          <w:bCs/>
          <w:sz w:val="24"/>
          <w:szCs w:val="24"/>
        </w:rPr>
        <w:t xml:space="preserve"> They can expose the injustices perpetrated by the criminal justice system. </w:t>
      </w:r>
      <w:r w:rsidRPr="005B1D08">
        <w:rPr>
          <w:rFonts w:ascii="Times New Roman" w:hAnsi="Times New Roman" w:cs="Times New Roman"/>
          <w:bCs/>
          <w:sz w:val="24"/>
          <w:szCs w:val="24"/>
        </w:rPr>
        <w:t xml:space="preserve"> </w:t>
      </w:r>
      <w:r w:rsidRPr="005B1D08" w:rsidR="00F93A20">
        <w:rPr>
          <w:rFonts w:ascii="Times New Roman" w:hAnsi="Times New Roman" w:cs="Times New Roman"/>
          <w:bCs/>
          <w:sz w:val="24"/>
          <w:szCs w:val="24"/>
        </w:rPr>
        <w:t>Former inmates provide insights and inside perspectives about the pains of imprisonment</w:t>
      </w:r>
      <w:r>
        <w:rPr>
          <w:rStyle w:val="FootnoteReference"/>
          <w:rFonts w:ascii="Times New Roman" w:hAnsi="Times New Roman" w:cs="Times New Roman"/>
          <w:bCs/>
          <w:sz w:val="24"/>
          <w:szCs w:val="24"/>
        </w:rPr>
        <w:footnoteReference w:id="3"/>
      </w:r>
      <w:r w:rsidRPr="005B1D08" w:rsidR="00F93A20">
        <w:rPr>
          <w:rFonts w:ascii="Times New Roman" w:hAnsi="Times New Roman" w:cs="Times New Roman"/>
          <w:bCs/>
          <w:sz w:val="24"/>
          <w:szCs w:val="24"/>
        </w:rPr>
        <w:t>. They are the only way in which the ills that take place inside the prisons can be exposed since media may not adequately cover such. Also, such people can help dispel the negative perceptions surro</w:t>
      </w:r>
      <w:r w:rsidRPr="005B1D08" w:rsidR="00E54B4F">
        <w:rPr>
          <w:rFonts w:ascii="Times New Roman" w:hAnsi="Times New Roman" w:cs="Times New Roman"/>
          <w:bCs/>
          <w:sz w:val="24"/>
          <w:szCs w:val="24"/>
        </w:rPr>
        <w:t>unding the correctional centres, many of which viewed negatively. 
</w:t>
      </w:r>
    </w:p>
    <w:p w:rsidR="005B1D08" w:rsidRPr="002E42F1" w:rsidP="002E42F1">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 xml:space="preserve">One way in which the incarcerated prisoners can “break into print” is exposing the problems that prisoners face while in prisons. From overcrowding to sexual assault and other </w:t>
      </w:r>
      <w:r w:rsidRPr="005B1D08">
        <w:rPr>
          <w:rFonts w:ascii="Times New Roman" w:hAnsi="Times New Roman" w:cs="Times New Roman"/>
          <w:bCs/>
          <w:sz w:val="24"/>
          <w:szCs w:val="24"/>
        </w:rPr>
        <w:t>issues, these ex-prisoners have firsthand information concerning them. Many things happen inside the prisons that not even the staff can realize. These can only be exposed by someone who has been there and experienced it. The ex-prisoners are in the best position to do so. 
</w:t>
      </w:r>
    </w:p>
    <w:p w:rsidR="00E54B4F" w:rsidRPr="005B1D08" w:rsidP="005B1D08">
      <w:pPr>
        <w:spacing w:line="480" w:lineRule="auto"/>
        <w:jc w:val="center"/>
        <w:rPr>
          <w:rFonts w:ascii="Times New Roman" w:hAnsi="Times New Roman" w:cs="Times New Roman"/>
          <w:b/>
          <w:bCs/>
          <w:sz w:val="24"/>
          <w:szCs w:val="24"/>
        </w:rPr>
      </w:pPr>
      <w:r w:rsidRPr="005B1D08">
        <w:rPr>
          <w:rFonts w:ascii="Times New Roman" w:hAnsi="Times New Roman" w:cs="Times New Roman"/>
          <w:b/>
          <w:bCs/>
          <w:sz w:val="24"/>
          <w:szCs w:val="24"/>
        </w:rPr>
        <w:t>There Were Ethical Dilemmas All Day Long,"</w:t>
      </w:r>
    </w:p>
    <w:p w:rsidR="00E54B4F" w:rsidRPr="005B1D08" w:rsidP="005B1D08">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 xml:space="preserve">No, a researcher should not conduct ethnographic research if he acknowledges that he cannot be objective. I believe that objectivity is paramount in any study. It is the backbone of any </w:t>
      </w:r>
      <w:r w:rsidRPr="005B1D08" w:rsidR="005B1D08">
        <w:rPr>
          <w:rFonts w:ascii="Times New Roman" w:hAnsi="Times New Roman" w:cs="Times New Roman"/>
          <w:bCs/>
          <w:sz w:val="24"/>
          <w:szCs w:val="24"/>
        </w:rPr>
        <w:t>credible</w:t>
      </w:r>
      <w:r w:rsidRPr="005B1D08">
        <w:rPr>
          <w:rFonts w:ascii="Times New Roman" w:hAnsi="Times New Roman" w:cs="Times New Roman"/>
          <w:bCs/>
          <w:sz w:val="24"/>
          <w:szCs w:val="24"/>
        </w:rPr>
        <w:t xml:space="preserve"> research. If there is no objectivity, then the study will be biased and will not give the correct results. The research will not be neutral, and it will give misleading results. When a researcher goes to research with predetermined outcomes or is accustomed to the cultures he is conducting the research, he has lost his way, and his results will not be credible. Thus, there is no need of doing it.
</w:t>
      </w:r>
    </w:p>
    <w:p w:rsidR="00A37EA4" w:rsidRPr="005B1D08" w:rsidP="005B1D08">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 xml:space="preserve">Yes, the researcher should be given confidentiality. </w:t>
      </w:r>
      <w:r w:rsidRPr="005B1D08" w:rsidR="001341B9">
        <w:rPr>
          <w:rFonts w:ascii="Times New Roman" w:hAnsi="Times New Roman" w:cs="Times New Roman"/>
          <w:bCs/>
          <w:sz w:val="24"/>
          <w:szCs w:val="24"/>
        </w:rPr>
        <w:t>The researcher should not reveal the confidential information</w:t>
      </w:r>
      <w:r>
        <w:rPr>
          <w:rStyle w:val="FootnoteReference"/>
          <w:rFonts w:ascii="Times New Roman" w:hAnsi="Times New Roman" w:cs="Times New Roman"/>
          <w:bCs/>
          <w:sz w:val="24"/>
          <w:szCs w:val="24"/>
        </w:rPr>
        <w:footnoteReference w:id="4"/>
      </w:r>
      <w:r w:rsidRPr="005B1D08" w:rsidR="001341B9">
        <w:rPr>
          <w:rFonts w:ascii="Times New Roman" w:hAnsi="Times New Roman" w:cs="Times New Roman"/>
          <w:bCs/>
          <w:sz w:val="24"/>
          <w:szCs w:val="24"/>
        </w:rPr>
        <w:t>. The confidentiality of the researcher should be main</w:t>
      </w:r>
      <w:r w:rsidRPr="005B1D08" w:rsidR="00FB6879">
        <w:rPr>
          <w:rFonts w:ascii="Times New Roman" w:hAnsi="Times New Roman" w:cs="Times New Roman"/>
          <w:bCs/>
          <w:sz w:val="24"/>
          <w:szCs w:val="24"/>
        </w:rPr>
        <w:t xml:space="preserve">tained. He should not be forced to surrender his notes </w:t>
      </w:r>
      <w:r w:rsidRPr="005B1D08" w:rsidR="003941EA">
        <w:rPr>
          <w:rFonts w:ascii="Times New Roman" w:hAnsi="Times New Roman" w:cs="Times New Roman"/>
          <w:bCs/>
          <w:sz w:val="24"/>
          <w:szCs w:val="24"/>
        </w:rPr>
        <w:t xml:space="preserve">if a judge subpoenas him because that will breach the IFB principles. The privacy of human subjects is paramount in ethnographic research, and thus the </w:t>
      </w:r>
      <w:r w:rsidRPr="005B1D08" w:rsidR="005B1D08">
        <w:rPr>
          <w:rFonts w:ascii="Times New Roman" w:hAnsi="Times New Roman" w:cs="Times New Roman"/>
          <w:bCs/>
          <w:sz w:val="24"/>
          <w:szCs w:val="24"/>
        </w:rPr>
        <w:t>researcher</w:t>
      </w:r>
      <w:r w:rsidRPr="005B1D08" w:rsidR="003941EA">
        <w:rPr>
          <w:rFonts w:ascii="Times New Roman" w:hAnsi="Times New Roman" w:cs="Times New Roman"/>
          <w:bCs/>
          <w:sz w:val="24"/>
          <w:szCs w:val="24"/>
        </w:rPr>
        <w:t xml:space="preserve"> has the right to confidentiality. </w:t>
      </w:r>
    </w:p>
    <w:p w:rsidR="003941EA" w:rsidRPr="005B1D08" w:rsidP="005B1D08">
      <w:pPr>
        <w:spacing w:line="480" w:lineRule="auto"/>
        <w:ind w:firstLine="720"/>
        <w:rPr>
          <w:rFonts w:ascii="Times New Roman" w:hAnsi="Times New Roman" w:cs="Times New Roman"/>
          <w:bCs/>
          <w:sz w:val="24"/>
          <w:szCs w:val="24"/>
        </w:rPr>
      </w:pPr>
      <w:r w:rsidRPr="005B1D08">
        <w:rPr>
          <w:rFonts w:ascii="Times New Roman" w:hAnsi="Times New Roman" w:cs="Times New Roman"/>
          <w:bCs/>
          <w:sz w:val="24"/>
          <w:szCs w:val="24"/>
        </w:rPr>
        <w:t xml:space="preserve">Yes, I </w:t>
      </w:r>
      <w:r w:rsidRPr="005B1D08" w:rsidR="005B1D08">
        <w:rPr>
          <w:rFonts w:ascii="Times New Roman" w:hAnsi="Times New Roman" w:cs="Times New Roman"/>
          <w:bCs/>
          <w:sz w:val="24"/>
          <w:szCs w:val="24"/>
        </w:rPr>
        <w:t>believe</w:t>
      </w:r>
      <w:r w:rsidRPr="005B1D08">
        <w:rPr>
          <w:rFonts w:ascii="Times New Roman" w:hAnsi="Times New Roman" w:cs="Times New Roman"/>
          <w:bCs/>
          <w:sz w:val="24"/>
          <w:szCs w:val="24"/>
        </w:rPr>
        <w:t xml:space="preserve"> it is appropriate for professors to go through </w:t>
      </w:r>
      <w:r w:rsidRPr="005B1D08" w:rsidR="005B1D08">
        <w:rPr>
          <w:rFonts w:ascii="Times New Roman" w:hAnsi="Times New Roman" w:cs="Times New Roman"/>
          <w:bCs/>
          <w:sz w:val="24"/>
          <w:szCs w:val="24"/>
        </w:rPr>
        <w:t>counselling</w:t>
      </w:r>
      <w:r w:rsidRPr="005B1D08">
        <w:rPr>
          <w:rFonts w:ascii="Times New Roman" w:hAnsi="Times New Roman" w:cs="Times New Roman"/>
          <w:bCs/>
          <w:sz w:val="24"/>
          <w:szCs w:val="24"/>
        </w:rPr>
        <w:t xml:space="preserve"> before </w:t>
      </w:r>
      <w:r w:rsidRPr="005B1D08" w:rsidR="005B1D08">
        <w:rPr>
          <w:rFonts w:ascii="Times New Roman" w:hAnsi="Times New Roman" w:cs="Times New Roman"/>
          <w:bCs/>
          <w:sz w:val="24"/>
          <w:szCs w:val="24"/>
        </w:rPr>
        <w:t xml:space="preserve">doing their research. This can help them prepare them mentally, how to deal with intricate issues and how to maintain objectivity in their research. The advice can help prepare them psychologically that </w:t>
      </w:r>
      <w:r w:rsidRPr="005B1D08" w:rsidR="005B1D08">
        <w:rPr>
          <w:rFonts w:ascii="Times New Roman" w:hAnsi="Times New Roman" w:cs="Times New Roman"/>
          <w:bCs/>
          <w:sz w:val="24"/>
          <w:szCs w:val="24"/>
        </w:rPr>
        <w:t>they will be faced with many challenges. I, therefore, think that counselling can be of great importance to them before they embark to their research. 
</w:t>
      </w:r>
    </w:p>
    <w:p w:rsidR="005B1D08" w:rsidRPr="005B1D08" w:rsidP="005B1D08">
      <w:pPr>
        <w:spacing w:line="480" w:lineRule="auto"/>
        <w:rPr>
          <w:rFonts w:ascii="Times New Roman" w:hAnsi="Times New Roman" w:cs="Times New Roman"/>
          <w:bCs/>
          <w:sz w:val="24"/>
          <w:szCs w:val="24"/>
        </w:rPr>
      </w:pPr>
    </w:p>
    <w:p w:rsidR="005B1D08" w:rsidRPr="005B1D08" w:rsidP="005B1D08">
      <w:pPr>
        <w:spacing w:line="480" w:lineRule="auto"/>
        <w:rPr>
          <w:rFonts w:ascii="Times New Roman" w:hAnsi="Times New Roman" w:cs="Times New Roman"/>
          <w:bCs/>
          <w:sz w:val="24"/>
          <w:szCs w:val="24"/>
        </w:rPr>
      </w:pPr>
    </w:p>
    <w:p w:rsidR="005B1D08" w:rsidRPr="005B1D08" w:rsidP="005B1D08">
      <w:pPr>
        <w:spacing w:line="480" w:lineRule="auto"/>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2E42F1" w:rsidP="005B1D08">
      <w:pPr>
        <w:spacing w:line="480" w:lineRule="auto"/>
        <w:ind w:left="720" w:hanging="720"/>
        <w:jc w:val="center"/>
        <w:rPr>
          <w:rFonts w:ascii="Times New Roman" w:hAnsi="Times New Roman" w:cs="Times New Roman"/>
          <w:b/>
          <w:bCs/>
          <w:sz w:val="24"/>
          <w:szCs w:val="24"/>
        </w:rPr>
      </w:pPr>
    </w:p>
    <w:p w:rsidR="005B1D08" w:rsidRPr="005B1D08" w:rsidP="005B1D08">
      <w:pPr>
        <w:spacing w:line="480" w:lineRule="auto"/>
        <w:ind w:left="720" w:hanging="720"/>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Bibliography </w:t>
      </w:r>
    </w:p>
    <w:p w:rsidR="005B1D08" w:rsidRPr="005B1D08" w:rsidP="005B1D08">
      <w:pPr>
        <w:spacing w:line="480" w:lineRule="auto"/>
        <w:ind w:left="720" w:hanging="720"/>
        <w:rPr>
          <w:rFonts w:ascii="Times New Roman" w:hAnsi="Times New Roman" w:cs="Times New Roman"/>
          <w:bCs/>
          <w:sz w:val="24"/>
          <w:szCs w:val="24"/>
        </w:rPr>
      </w:pPr>
      <w:r w:rsidRPr="005B1D08">
        <w:rPr>
          <w:rFonts w:ascii="Times New Roman" w:hAnsi="Times New Roman" w:cs="Times New Roman"/>
          <w:bCs/>
          <w:sz w:val="24"/>
          <w:szCs w:val="24"/>
        </w:rPr>
        <w:t>Jeffrey Ian Ross, Miguel Zaldivar, and Richard Tewksbury (2015).  ""Breaking out of Prison and into Print," Critical Criminology, 23, 73-83.</w:t>
      </w:r>
    </w:p>
    <w:p w:rsidR="005B1D08" w:rsidRPr="005B1D08" w:rsidP="005B1D08">
      <w:pPr>
        <w:spacing w:line="480" w:lineRule="auto"/>
        <w:ind w:left="720" w:hanging="720"/>
        <w:rPr>
          <w:rFonts w:ascii="Times New Roman" w:hAnsi="Times New Roman" w:cs="Times New Roman"/>
          <w:bCs/>
          <w:sz w:val="24"/>
          <w:szCs w:val="24"/>
        </w:rPr>
      </w:pPr>
      <w:r w:rsidRPr="005B1D08">
        <w:rPr>
          <w:rFonts w:ascii="Times New Roman" w:hAnsi="Times New Roman" w:cs="Times New Roman"/>
          <w:bCs/>
          <w:sz w:val="24"/>
          <w:szCs w:val="24"/>
        </w:rPr>
        <w:t xml:space="preserve">Melanie-Angela Neuilly &amp; Mary K. </w:t>
      </w:r>
      <w:r w:rsidRPr="005B1D08">
        <w:rPr>
          <w:rFonts w:ascii="Times New Roman" w:hAnsi="Times New Roman" w:cs="Times New Roman"/>
          <w:bCs/>
          <w:sz w:val="24"/>
          <w:szCs w:val="24"/>
        </w:rPr>
        <w:t>Stohr</w:t>
      </w:r>
      <w:r w:rsidRPr="005B1D08">
        <w:rPr>
          <w:rFonts w:ascii="Times New Roman" w:hAnsi="Times New Roman" w:cs="Times New Roman"/>
          <w:bCs/>
          <w:sz w:val="24"/>
          <w:szCs w:val="24"/>
        </w:rPr>
        <w:t>. (2016). "The Art of Conferencing," Journal of Criminal Justice Education, 27:2, 194-211.</w:t>
      </w:r>
    </w:p>
    <w:p w:rsidR="005B1D08" w:rsidRPr="005B1D08" w:rsidP="005B1D08">
      <w:pPr>
        <w:spacing w:line="480" w:lineRule="auto"/>
        <w:ind w:left="720" w:hanging="720"/>
        <w:rPr>
          <w:rFonts w:ascii="Times New Roman" w:hAnsi="Times New Roman" w:cs="Times New Roman"/>
          <w:bCs/>
          <w:sz w:val="24"/>
          <w:szCs w:val="24"/>
        </w:rPr>
      </w:pPr>
      <w:r w:rsidRPr="005B1D08">
        <w:rPr>
          <w:rFonts w:ascii="Times New Roman" w:hAnsi="Times New Roman" w:cs="Times New Roman"/>
          <w:bCs/>
          <w:sz w:val="24"/>
          <w:szCs w:val="24"/>
        </w:rPr>
        <w:t xml:space="preserve">Robert M. Worley, </w:t>
      </w:r>
      <w:r w:rsidRPr="005B1D08">
        <w:rPr>
          <w:rFonts w:ascii="Times New Roman" w:hAnsi="Times New Roman" w:cs="Times New Roman"/>
          <w:bCs/>
          <w:sz w:val="24"/>
          <w:szCs w:val="24"/>
        </w:rPr>
        <w:t>Vidisha</w:t>
      </w:r>
      <w:r w:rsidRPr="005B1D08">
        <w:rPr>
          <w:rFonts w:ascii="Times New Roman" w:hAnsi="Times New Roman" w:cs="Times New Roman"/>
          <w:bCs/>
          <w:sz w:val="24"/>
          <w:szCs w:val="24"/>
        </w:rPr>
        <w:t xml:space="preserve"> </w:t>
      </w:r>
      <w:r w:rsidRPr="005B1D08">
        <w:rPr>
          <w:rFonts w:ascii="Times New Roman" w:hAnsi="Times New Roman" w:cs="Times New Roman"/>
          <w:bCs/>
          <w:sz w:val="24"/>
          <w:szCs w:val="24"/>
        </w:rPr>
        <w:t>Barua</w:t>
      </w:r>
      <w:r w:rsidRPr="005B1D08">
        <w:rPr>
          <w:rFonts w:ascii="Times New Roman" w:hAnsi="Times New Roman" w:cs="Times New Roman"/>
          <w:bCs/>
          <w:sz w:val="24"/>
          <w:szCs w:val="24"/>
        </w:rPr>
        <w:t xml:space="preserve"> Worley &amp; Brittany Ann Wood (2016).  "There were ethical dilemmas all day long," Criminal Justice Studies, 29:4, 289-308</w:t>
      </w:r>
    </w:p>
    <w:p w:rsidR="005B1D08" w:rsidRPr="00E54B4F" w:rsidP="00E54B4F">
      <w:pPr>
        <w:rPr>
          <w:bCs/>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09CA" w:rsidP="007F08D4">
      <w:pPr>
        <w:spacing w:after="0" w:line="240" w:lineRule="auto"/>
      </w:pPr>
      <w:r>
        <w:separator/>
      </w:r>
    </w:p>
  </w:footnote>
  <w:footnote w:type="continuationSeparator" w:id="1">
    <w:p w:rsidR="00A209CA" w:rsidP="007F08D4">
      <w:pPr>
        <w:spacing w:after="0" w:line="240" w:lineRule="auto"/>
      </w:pPr>
      <w:r>
        <w:continuationSeparator/>
      </w:r>
    </w:p>
  </w:footnote>
  <w:footnote w:id="2">
    <w:p w:rsidR="002E42F1">
      <w:pPr>
        <w:pStyle w:val="FootnoteText"/>
      </w:pPr>
      <w:r>
        <w:rPr>
          <w:rStyle w:val="FootnoteReference"/>
        </w:rPr>
        <w:footnoteRef/>
      </w:r>
      <w:r>
        <w:t xml:space="preserve"> </w:t>
      </w:r>
      <w:r w:rsidRPr="002E42F1">
        <w:rPr>
          <w:rFonts w:ascii="Times New Roman" w:hAnsi="Times New Roman" w:cs="Times New Roman"/>
          <w:bCs/>
          <w:sz w:val="24"/>
          <w:szCs w:val="24"/>
        </w:rPr>
        <w:t xml:space="preserve">Melanie-Angela Neuilly &amp; Mary K. </w:t>
      </w:r>
      <w:r w:rsidRPr="002E42F1">
        <w:rPr>
          <w:rFonts w:ascii="Times New Roman" w:hAnsi="Times New Roman" w:cs="Times New Roman"/>
          <w:bCs/>
          <w:sz w:val="24"/>
          <w:szCs w:val="24"/>
        </w:rPr>
        <w:t>Stohr</w:t>
      </w:r>
      <w:r w:rsidRPr="002E42F1">
        <w:rPr>
          <w:rFonts w:ascii="Times New Roman" w:hAnsi="Times New Roman" w:cs="Times New Roman"/>
          <w:bCs/>
          <w:sz w:val="24"/>
          <w:szCs w:val="24"/>
        </w:rPr>
        <w:t>. (2016). "The Art of Conferencing," Journal of Criminal Justice Education, 27:2, 194-211</w:t>
      </w:r>
    </w:p>
  </w:footnote>
  <w:footnote w:id="3">
    <w:p w:rsidR="002E42F1" w:rsidRPr="002E42F1">
      <w:pPr>
        <w:pStyle w:val="FootnoteText"/>
        <w:rPr>
          <w:rFonts w:ascii="Times New Roman" w:hAnsi="Times New Roman" w:cs="Times New Roman"/>
          <w:sz w:val="24"/>
          <w:szCs w:val="24"/>
        </w:rPr>
      </w:pPr>
      <w:r w:rsidRPr="002E42F1">
        <w:rPr>
          <w:rStyle w:val="FootnoteReference"/>
          <w:rFonts w:ascii="Times New Roman" w:hAnsi="Times New Roman" w:cs="Times New Roman"/>
          <w:sz w:val="24"/>
          <w:szCs w:val="24"/>
        </w:rPr>
        <w:footnoteRef/>
      </w:r>
      <w:r w:rsidRPr="002E42F1">
        <w:rPr>
          <w:rFonts w:ascii="Times New Roman" w:hAnsi="Times New Roman" w:cs="Times New Roman"/>
          <w:sz w:val="24"/>
          <w:szCs w:val="24"/>
        </w:rPr>
        <w:t xml:space="preserve"> Jeffrey Ian Ross, Miguel Zaldivar, and Richard Tewksbury (2015).  ""Breaking out of Prison and into Print," Critical Criminology, 23, 73-83.</w:t>
      </w:r>
    </w:p>
  </w:footnote>
  <w:footnote w:id="4">
    <w:p w:rsidR="002E42F1" w:rsidRPr="002E42F1" w:rsidP="002E42F1">
      <w:pPr>
        <w:pStyle w:val="FootnoteText"/>
        <w:rPr>
          <w:rFonts w:ascii="Times New Roman" w:hAnsi="Times New Roman" w:cs="Times New Roman"/>
          <w:bCs/>
          <w:sz w:val="24"/>
          <w:szCs w:val="24"/>
        </w:rPr>
      </w:pPr>
      <w:r w:rsidRPr="002E42F1">
        <w:rPr>
          <w:rStyle w:val="FootnoteReference"/>
          <w:rFonts w:ascii="Times New Roman" w:hAnsi="Times New Roman" w:cs="Times New Roman"/>
          <w:sz w:val="24"/>
          <w:szCs w:val="24"/>
        </w:rPr>
        <w:footnoteRef/>
      </w:r>
      <w:r w:rsidRPr="002E42F1">
        <w:rPr>
          <w:rFonts w:ascii="Times New Roman" w:hAnsi="Times New Roman" w:cs="Times New Roman"/>
          <w:sz w:val="24"/>
          <w:szCs w:val="24"/>
        </w:rPr>
        <w:t xml:space="preserve"> </w:t>
      </w:r>
      <w:r w:rsidRPr="002E42F1">
        <w:rPr>
          <w:rFonts w:ascii="Times New Roman" w:hAnsi="Times New Roman" w:cs="Times New Roman"/>
          <w:bCs/>
          <w:sz w:val="24"/>
          <w:szCs w:val="24"/>
        </w:rPr>
        <w:t xml:space="preserve">Robert M. Worley, </w:t>
      </w:r>
      <w:r w:rsidRPr="002E42F1">
        <w:rPr>
          <w:rFonts w:ascii="Times New Roman" w:hAnsi="Times New Roman" w:cs="Times New Roman"/>
          <w:bCs/>
          <w:sz w:val="24"/>
          <w:szCs w:val="24"/>
        </w:rPr>
        <w:t>Vidisha</w:t>
      </w:r>
      <w:r w:rsidRPr="002E42F1">
        <w:rPr>
          <w:rFonts w:ascii="Times New Roman" w:hAnsi="Times New Roman" w:cs="Times New Roman"/>
          <w:bCs/>
          <w:sz w:val="24"/>
          <w:szCs w:val="24"/>
        </w:rPr>
        <w:t xml:space="preserve"> </w:t>
      </w:r>
      <w:r w:rsidRPr="002E42F1">
        <w:rPr>
          <w:rFonts w:ascii="Times New Roman" w:hAnsi="Times New Roman" w:cs="Times New Roman"/>
          <w:bCs/>
          <w:sz w:val="24"/>
          <w:szCs w:val="24"/>
        </w:rPr>
        <w:t>Barua</w:t>
      </w:r>
      <w:r w:rsidRPr="002E42F1">
        <w:rPr>
          <w:rFonts w:ascii="Times New Roman" w:hAnsi="Times New Roman" w:cs="Times New Roman"/>
          <w:bCs/>
          <w:sz w:val="24"/>
          <w:szCs w:val="24"/>
        </w:rPr>
        <w:t xml:space="preserve"> Worley &amp; Brittany Ann Wood (2016).  "There were ethical dilemmas all day long," Criminal Justice Studies, 29:4, 289-308</w:t>
      </w:r>
    </w:p>
    <w:p w:rsidR="002E42F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31453608"/>
      <w:docPartObj>
        <w:docPartGallery w:val="Page Numbers (Top of Page)"/>
        <w:docPartUnique/>
      </w:docPartObj>
    </w:sdtPr>
    <w:sdtEndPr>
      <w:rPr>
        <w:noProof/>
      </w:rPr>
    </w:sdtEndPr>
    <w:sdtContent>
      <w:p w:rsidR="007F08D4" w:rsidRPr="007F08D4">
        <w:pPr>
          <w:pStyle w:val="Header"/>
          <w:jc w:val="right"/>
          <w:rPr>
            <w:rFonts w:ascii="Times New Roman" w:hAnsi="Times New Roman" w:cs="Times New Roman"/>
            <w:sz w:val="24"/>
            <w:szCs w:val="24"/>
          </w:rPr>
        </w:pPr>
        <w:r w:rsidRPr="007F08D4">
          <w:rPr>
            <w:rFonts w:ascii="Times New Roman" w:hAnsi="Times New Roman" w:cs="Times New Roman"/>
            <w:sz w:val="24"/>
            <w:szCs w:val="24"/>
          </w:rPr>
          <w:fldChar w:fldCharType="begin"/>
        </w:r>
        <w:r w:rsidRPr="007F08D4">
          <w:rPr>
            <w:rFonts w:ascii="Times New Roman" w:hAnsi="Times New Roman" w:cs="Times New Roman"/>
            <w:sz w:val="24"/>
            <w:szCs w:val="24"/>
          </w:rPr>
          <w:instrText xml:space="preserve"> PAGE   \* MERGEFORMAT </w:instrText>
        </w:r>
        <w:r w:rsidRPr="007F08D4">
          <w:rPr>
            <w:rFonts w:ascii="Times New Roman" w:hAnsi="Times New Roman" w:cs="Times New Roman"/>
            <w:sz w:val="24"/>
            <w:szCs w:val="24"/>
          </w:rPr>
          <w:fldChar w:fldCharType="separate"/>
        </w:r>
        <w:r w:rsidR="002E42F1">
          <w:rPr>
            <w:rFonts w:ascii="Times New Roman" w:hAnsi="Times New Roman" w:cs="Times New Roman"/>
            <w:noProof/>
            <w:sz w:val="24"/>
            <w:szCs w:val="24"/>
          </w:rPr>
          <w:t>6</w:t>
        </w:r>
        <w:r w:rsidRPr="007F08D4">
          <w:rPr>
            <w:rFonts w:ascii="Times New Roman" w:hAnsi="Times New Roman" w:cs="Times New Roman"/>
            <w:noProof/>
            <w:sz w:val="24"/>
            <w:szCs w:val="24"/>
          </w:rPr>
          <w:fldChar w:fldCharType="end"/>
        </w:r>
      </w:p>
    </w:sdtContent>
  </w:sdt>
  <w:p w:rsidR="007F08D4" w:rsidRPr="007F08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A0"/>
    <w:rsid w:val="000740A9"/>
    <w:rsid w:val="001341B9"/>
    <w:rsid w:val="00290828"/>
    <w:rsid w:val="002E42F1"/>
    <w:rsid w:val="003941EA"/>
    <w:rsid w:val="00425D34"/>
    <w:rsid w:val="004D6ED9"/>
    <w:rsid w:val="005652B2"/>
    <w:rsid w:val="005B1D08"/>
    <w:rsid w:val="006255A0"/>
    <w:rsid w:val="006A3520"/>
    <w:rsid w:val="007C1F6F"/>
    <w:rsid w:val="007F08D4"/>
    <w:rsid w:val="008B77D6"/>
    <w:rsid w:val="0094635A"/>
    <w:rsid w:val="009618B7"/>
    <w:rsid w:val="00A209CA"/>
    <w:rsid w:val="00A37EA4"/>
    <w:rsid w:val="00D8245B"/>
    <w:rsid w:val="00E54B4F"/>
    <w:rsid w:val="00F93A20"/>
    <w:rsid w:val="00FB68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07C0C89-EA79-4649-A465-317DCBAC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8D4"/>
  </w:style>
  <w:style w:type="paragraph" w:styleId="Footer">
    <w:name w:val="footer"/>
    <w:basedOn w:val="Normal"/>
    <w:link w:val="FooterChar"/>
    <w:uiPriority w:val="99"/>
    <w:unhideWhenUsed/>
    <w:rsid w:val="007F0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8D4"/>
  </w:style>
  <w:style w:type="paragraph" w:styleId="FootnoteText">
    <w:name w:val="footnote text"/>
    <w:basedOn w:val="Normal"/>
    <w:link w:val="FootnoteTextChar"/>
    <w:uiPriority w:val="99"/>
    <w:semiHidden/>
    <w:unhideWhenUsed/>
    <w:rsid w:val="002E4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42F1"/>
    <w:rPr>
      <w:sz w:val="20"/>
      <w:szCs w:val="20"/>
    </w:rPr>
  </w:style>
  <w:style w:type="character" w:styleId="FootnoteReference">
    <w:name w:val="footnote reference"/>
    <w:basedOn w:val="DefaultParagraphFont"/>
    <w:uiPriority w:val="99"/>
    <w:semiHidden/>
    <w:unhideWhenUsed/>
    <w:rsid w:val="002E42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8B0AB-1771-4745-A58C-2B532B22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2020-04-29T09:59:00Z</dcterms:created>
  <dcterms:modified xsi:type="dcterms:W3CDTF">2020-04-29T17:07:00Z</dcterms:modified>
</cp:coreProperties>
</file>